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Marketing Agency Business Plan Template</w:t>
      </w:r>
    </w:p>
    <w:p>
      <w:r>
        <w:t>Blank editable outline | MyBreakeven | October 24, 2026</w:t>
      </w:r>
    </w:p>
    <w:p>
      <w:r>
        <w:t>Business name: ____________________   Owner: ____________________</w:t>
      </w:r>
    </w:p>
    <w:p>
      <w:r>
        <w:t>Plan period: ____________________   Next review: ____________________</w:t>
      </w:r>
    </w:p>
    <w:p>
      <w:pPr>
        <w:pStyle w:val="Heading1"/>
      </w:pPr>
      <w:r>
        <w:t>Executive summary</w:t>
      </w:r>
    </w:p>
    <w:p>
      <w:r>
        <w:t>Summarize the buyer, offer, evidence, funding need and next milestone. Complete this after checking the financial schedules.</w:t>
      </w:r>
    </w:p>
    <w:p>
      <w:pPr>
        <w:pStyle w:val="Heading1"/>
      </w:pPr>
      <w:r>
        <w:t>Business and ownership</w:t>
      </w:r>
    </w:p>
    <w:p>
      <w:r>
        <w:t>Record the agency niche, ownership, roles and operating model. Define whether delivery uses employees, contractors or the owner. [Replace with your plan.]</w:t>
      </w:r>
    </w:p>
    <w:p>
      <w:pPr>
        <w:pStyle w:val="Heading1"/>
      </w:pPr>
      <w:r>
        <w:t>Customers and demand</w:t>
      </w:r>
    </w:p>
    <w:p>
      <w:r>
        <w:t>Define the buyer, business problem, budget and qualification criteria. Record interview and proposal evidence. [Replace with your plan.]</w:t>
      </w:r>
    </w:p>
    <w:p>
      <w:pPr>
        <w:pStyle w:val="Heading1"/>
      </w:pPr>
      <w:r>
        <w:t>Services and scope</w:t>
      </w:r>
    </w:p>
    <w:p>
      <w:r>
        <w:t>Specify deliverables, revisions, reporting, exclusions, billing dates and change requests. Separate client ad spend from agency revenue. [Replace with your plan.]</w:t>
      </w:r>
    </w:p>
    <w:p>
      <w:pPr>
        <w:pStyle w:val="Heading1"/>
      </w:pPr>
      <w:r>
        <w:t>Sales and retention</w:t>
      </w:r>
    </w:p>
    <w:p>
      <w:r>
        <w:t>Record opening clients, losses and new wins by start date. Tie leads and win rates to a consistent funnel. [Replace with your plan.]</w:t>
      </w:r>
    </w:p>
    <w:p>
      <w:pPr>
        <w:pStyle w:val="Heading1"/>
      </w:pPr>
      <w:r>
        <w:t>Delivery and staffing</w:t>
      </w:r>
    </w:p>
    <w:p>
      <w:r>
        <w:t>Define productive hours by role, onboarding and recurring work. Reconcile contractor costs and payroll without duplication. [Replace with your plan.]</w:t>
      </w:r>
    </w:p>
    <w:p>
      <w:pPr>
        <w:pStyle w:val="Heading1"/>
      </w:pPr>
      <w:r>
        <w:t>Revenue and operating costs</w:t>
      </w:r>
    </w:p>
    <w:p>
      <w:r>
        <w:t>Build revenue from active billable clients and rates. Show direct cost, fixed costs, owner pay and profit separately. [Replace with your plan.]</w:t>
      </w:r>
    </w:p>
    <w:p>
      <w:pPr>
        <w:pStyle w:val="Heading1"/>
      </w:pPr>
      <w:r>
        <w:t>Collections and funding</w:t>
      </w:r>
    </w:p>
    <w:p>
      <w:r>
        <w:t>Record billing dates, current-month collection share, opening receivables and cash. Schedule purchases and principal payments separately. [Replace with your plan.]</w:t>
      </w:r>
    </w:p>
    <w:p>
      <w:pPr>
        <w:pStyle w:val="Heading1"/>
      </w:pPr>
      <w:r>
        <w:t>Risks and response</w:t>
      </w:r>
    </w:p>
    <w:p>
      <w:r>
        <w:t>Set triggers for concentration, churn, late payment, scope creep and excessive workload. Assign a response owner. [Replace with your plan.]</w:t>
      </w:r>
    </w:p>
    <w:p>
      <w:pPr>
        <w:pStyle w:val="Heading1"/>
      </w:pPr>
      <w:r>
        <w:t>Milestones and evidence</w:t>
      </w:r>
    </w:p>
    <w:p>
      <w:r>
        <w:t>Set dated validation, sales, onboarding and capacity milestones. Keep signed contracts separate from forecast wins. [Replace with your plan.]</w:t>
      </w:r>
    </w:p>
    <w:p>
      <w:r>
        <w:br w:type="page"/>
      </w:r>
    </w:p>
    <w:p>
      <w:pPr>
        <w:pStyle w:val="Title"/>
      </w:pPr>
      <w:r>
        <w:t>Harbor Signal Studio</w:t>
      </w:r>
    </w:p>
    <w:p>
      <w:r>
        <w:t>Completed fictional example | Retainers, client capacity and collections</w:t>
      </w:r>
    </w:p>
    <w:p>
      <w:r>
        <w:t>Executive summary: Harbor Signal is a fictional small marketing studio offering a defined monthly content and reporting service. Two delivery contributors support the schedule. Their hours are capacity assumptions; direct costs must cover their paid work. Nine clients produce $18,000 revenue and $8,100 direct cost. After $6,000 monthly overhead, $3,900 remains before excluded owner pay, tax, financing and unentered costs. No industry margin benchmark is assumed. The studio will review client concentration and unpaid invoices monthly. An eleventh equivalent client would exceed the 208-hour allowance. New scope requires repricing or resourcing before the team commits.</w:t>
      </w:r>
    </w:p>
    <w:p>
      <w:pPr>
        <w:pStyle w:val="Heading1"/>
      </w:pPr>
      <w:r>
        <w:t>Business and ownership</w:t>
      </w:r>
    </w:p>
    <w:p>
      <w:r>
        <w:t>Harbor Signal is a fictional small marketing studio offering a defined monthly content and reporting service. Two delivery contributors support the schedule. Their hours are capacity assumptions; direct costs must cover their paid work.</w:t>
      </w:r>
    </w:p>
    <w:p>
      <w:pPr>
        <w:pStyle w:val="Heading1"/>
      </w:pPr>
      <w:r>
        <w:t>Customers and demand</w:t>
      </w:r>
    </w:p>
    <w:p>
      <w:r>
        <w:t>The target buyer is a small-business owner who needs consistent content execution and reporting. The team will interview prospects and test paid pilots. Expected new clients remain assumptions until agreements are signed.</w:t>
      </w:r>
    </w:p>
    <w:p>
      <w:pPr>
        <w:pStyle w:val="Heading1"/>
      </w:pPr>
      <w:r>
        <w:t>Services and scope</w:t>
      </w:r>
    </w:p>
    <w:p>
      <w:r>
        <w:t>The illustrative retainer is $2,000 per client-month for one fixed scope using 20 worker-hours. Client advertising spend is excluded. Extra deliverables need a change agreement and a revised time budget.</w:t>
      </w:r>
    </w:p>
    <w:p>
      <w:pPr>
        <w:pStyle w:val="Heading1"/>
      </w:pPr>
      <w:r>
        <w:t>Sales and retention</w:t>
      </w:r>
    </w:p>
    <w:p>
      <w:r>
        <w:t>January starts with eight clients, loses one and adds two at the month start. Nine clients are billed for the full month. Later months assume no gains or losses; this flat forecast is editable.</w:t>
      </w:r>
    </w:p>
    <w:p>
      <w:pPr>
        <w:pStyle w:val="Heading1"/>
      </w:pPr>
      <w:r>
        <w:t>Delivery and staffing</w:t>
      </w:r>
    </w:p>
    <w:p>
      <w:r>
        <w:t>Two contributors each have 160 monthly hours at 65% productive utilization, giving 208 delivery hours. Nine clients need 180 hours. The $900 direct cost per client includes modeled delivery cost; the same pay is not in overhead.</w:t>
      </w:r>
    </w:p>
    <w:p>
      <w:pPr>
        <w:pStyle w:val="Heading1"/>
      </w:pPr>
      <w:r>
        <w:t>Revenue and operating costs</w:t>
      </w:r>
    </w:p>
    <w:p>
      <w:r>
        <w:t>Nine clients produce $18,000 revenue and $8,100 direct cost. After $6,000 monthly overhead, $3,900 remains before excluded owner pay, tax, financing and unentered costs. No industry margin benchmark is assumed.</w:t>
      </w:r>
    </w:p>
    <w:p>
      <w:pPr>
        <w:pStyle w:val="Heading1"/>
      </w:pPr>
      <w:r>
        <w:t>Collections and funding</w:t>
      </w:r>
    </w:p>
    <w:p>
      <w:r>
        <w:t>Opening cash is $8,000 and opening receivables are zero. Half of billed revenue is collected this month and half next month. January cash falls to $2,900 despite a positive operating result.</w:t>
      </w:r>
    </w:p>
    <w:p>
      <w:pPr>
        <w:pStyle w:val="Heading1"/>
      </w:pPr>
      <w:r>
        <w:t>Risks and response</w:t>
      </w:r>
    </w:p>
    <w:p>
      <w:r>
        <w:t>The studio will review client concentration and unpaid invoices monthly. An eleventh equivalent client would exceed the 208-hour allowance. New scope requires repricing or resourcing before the team commits.</w:t>
      </w:r>
    </w:p>
    <w:p>
      <w:pPr>
        <w:pStyle w:val="Heading1"/>
      </w:pPr>
      <w:r>
        <w:t>Milestones and evidence</w:t>
      </w:r>
    </w:p>
    <w:p>
      <w:r>
        <w:t>Days 1–30: interview buyers and define scope. Days 31–60: log pilot hours and collections. Days 61–90: compare signed retainers with the hours plan and approve hiring only after its cost and collection lag are modeled.</w:t>
      </w:r>
    </w:p>
    <w:p>
      <w:r>
        <w:br w:type="page"/>
      </w:r>
    </w:p>
    <w:p>
      <w:pPr>
        <w:pStyle w:val="Title"/>
      </w:pPr>
      <w:r>
        <w:t>Financial example and evidence</w:t>
      </w:r>
    </w:p>
    <w:p>
      <w:r>
        <w:t>USD assumptions for January–December 2027. Use the companion Excel workbook to replace inputs and inspect monthly formulas. These are fictional inputs, not industry averages or customer results.</w:t>
      </w:r>
    </w:p>
    <w:tbl>
      <w:tblPr>
        <w:tblStyle w:val="LightShading-Accent1"/>
        <w:tblW w:type="auto" w:w="0"/>
        <w:tblLook w:firstColumn="1" w:firstRow="1" w:lastColumn="0" w:lastRow="0" w:noHBand="0" w:noVBand="1" w:val="04A0"/>
      </w:tblPr>
      <w:tblGrid>
        <w:gridCol w:w="5112"/>
        <w:gridCol w:w="5112"/>
      </w:tblGrid>
      <w:tr>
        <w:trPr>
          <w:tblHeader/>
        </w:trPr>
        <w:tc>
          <w:tcPr>
            <w:tcW w:type="dxa" w:w="5112"/>
          </w:tcPr>
          <w:p>
            <w:r>
              <w:t>Measure</w:t>
            </w:r>
          </w:p>
        </w:tc>
        <w:tc>
          <w:tcPr>
            <w:tcW w:type="dxa" w:w="5112"/>
          </w:tcPr>
          <w:p>
            <w:r>
              <w:t>Calculation</w:t>
            </w:r>
          </w:p>
        </w:tc>
      </w:tr>
      <w:tr>
        <w:tc>
          <w:tcPr>
            <w:tcW w:type="dxa" w:w="5112"/>
          </w:tcPr>
          <w:p>
            <w:r>
              <w:t>Client roll-forward</w:t>
            </w:r>
          </w:p>
        </w:tc>
        <w:tc>
          <w:tcPr>
            <w:tcW w:type="dxa" w:w="5112"/>
          </w:tcPr>
          <w:p>
            <w:r>
              <w:t>8 opening − 1 lost + 2 new = 9 active</w:t>
            </w:r>
          </w:p>
        </w:tc>
      </w:tr>
      <w:tr>
        <w:tc>
          <w:tcPr>
            <w:tcW w:type="dxa" w:w="5112"/>
          </w:tcPr>
          <w:p>
            <w:r>
              <w:t>Revenue</w:t>
            </w:r>
          </w:p>
        </w:tc>
        <w:tc>
          <w:tcPr>
            <w:tcW w:type="dxa" w:w="5112"/>
          </w:tcPr>
          <w:p>
            <w:r>
              <w:t>9 × $2,000 = $18,000</w:t>
            </w:r>
          </w:p>
        </w:tc>
      </w:tr>
      <w:tr>
        <w:tc>
          <w:tcPr>
            <w:tcW w:type="dxa" w:w="5112"/>
          </w:tcPr>
          <w:p>
            <w:r>
              <w:t>Direct delivery cost</w:t>
            </w:r>
          </w:p>
        </w:tc>
        <w:tc>
          <w:tcPr>
            <w:tcW w:type="dxa" w:w="5112"/>
          </w:tcPr>
          <w:p>
            <w:r>
              <w:t>9 × $900 = $8,100</w:t>
            </w:r>
          </w:p>
        </w:tc>
      </w:tr>
      <w:tr>
        <w:tc>
          <w:tcPr>
            <w:tcW w:type="dxa" w:w="5112"/>
          </w:tcPr>
          <w:p>
            <w:r>
              <w:t>Operating result before excluded items</w:t>
            </w:r>
          </w:p>
        </w:tc>
        <w:tc>
          <w:tcPr>
            <w:tcW w:type="dxa" w:w="5112"/>
          </w:tcPr>
          <w:p>
            <w:r>
              <w:t>$18,000 − $8,100 − $6,000 = $3,900</w:t>
            </w:r>
          </w:p>
        </w:tc>
      </w:tr>
      <w:tr>
        <w:tc>
          <w:tcPr>
            <w:tcW w:type="dxa" w:w="5112"/>
          </w:tcPr>
          <w:p>
            <w:r>
              <w:t>Delivery hours needed / available</w:t>
            </w:r>
          </w:p>
        </w:tc>
        <w:tc>
          <w:tcPr>
            <w:tcW w:type="dxa" w:w="5112"/>
          </w:tcPr>
          <w:p>
            <w:r>
              <w:t>180 / 208 worker-hours</w:t>
            </w:r>
          </w:p>
        </w:tc>
      </w:tr>
      <w:tr>
        <w:tc>
          <w:tcPr>
            <w:tcW w:type="dxa" w:w="5112"/>
          </w:tcPr>
          <w:p>
            <w:r>
              <w:t>Whole-client capacity</w:t>
            </w:r>
          </w:p>
        </w:tc>
        <w:tc>
          <w:tcPr>
            <w:tcW w:type="dxa" w:w="5112"/>
          </w:tcPr>
          <w:p>
            <w:r>
              <w:t>10 equivalent full-scope clients</w:t>
            </w:r>
          </w:p>
        </w:tc>
      </w:tr>
    </w:tbl>
    <w:p>
      <w:r>
        <w:t>The example assumes gains and losses occur at the month start, so all nine active clients receive a full month of service. Mid-month starts require proration and a separate onboarding allowance. The workbook flags client losses above the opening cohort and insufficient delivery capacity instead of silently treating them as acceptable growth.</w:t>
      </w:r>
    </w:p>
    <w:p>
      <w:pPr>
        <w:pStyle w:val="Heading1"/>
      </w:pPr>
      <w:r>
        <w:t>Cash timing</w:t>
      </w:r>
    </w:p>
    <w:p>
      <w:r>
        <w:t>January collections of $9,000 are lower than $14,100 modeled cash costs. Opening cash of $8,000 falls to $2,900, while $9,000 remains receivable. February collects the other half plus half of February billings. This simplified model assumes the remaining share arrives the following month, without bad debts or longer delays.</w:t>
      </w:r>
    </w:p>
    <w:p>
      <w:pPr>
        <w:pStyle w:val="Heading1"/>
      </w:pPr>
      <w:r>
        <w:t>Evidence to collect</w:t>
      </w:r>
    </w:p>
    <w:p>
      <w:pPr>
        <w:pStyle w:val="ListBullet"/>
      </w:pPr>
      <w:r>
        <w:t>Signed scopes and client start/end dates</w:t>
      </w:r>
    </w:p>
    <w:p>
      <w:pPr>
        <w:pStyle w:val="ListBullet"/>
      </w:pPr>
      <w:r>
        <w:t>Time records by client and delivery role</w:t>
      </w:r>
    </w:p>
    <w:p>
      <w:pPr>
        <w:pStyle w:val="ListBullet"/>
      </w:pPr>
      <w:r>
        <w:t>Payroll, contractor and software records</w:t>
      </w:r>
    </w:p>
    <w:p>
      <w:pPr>
        <w:pStyle w:val="ListBullet"/>
      </w:pPr>
      <w:r>
        <w:t>Invoice dates, receipts and outstanding balances</w:t>
      </w:r>
    </w:p>
    <w:p>
      <w:r>
        <w:t>Record each next action with an owner, due date, evidence and a pass condition. Replace assumptions after paid tests and reconcile completed work, invoices and bank receipts each month.</w:t>
      </w:r>
    </w:p>
    <w:p>
      <w:r>
        <w:t>Scope: results exclude unentered tax, financing, depreciation and owner costs. Monthly cash does not test payment dates within a month. No external accountant review or funding approval is implied.</w:t>
      </w:r>
    </w:p>
    <w:p>
      <w:r>
        <w:t>Resource: https://mybreakeven.com/resources/agency-business-plan-template/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rial" w:hAnsi="Arial"/>
      <w:b/>
      <w:bCs/>
      <w:color w:val="174C59"/>
      <w:sz w:val="2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174C5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537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Agency Business Plan Template</dc:title>
  <dc:subject>Retainers, client capacity and collections</dc:subject>
  <dc:creator>MyBreakeven</dc:creator>
  <cp:keywords/>
  <dc:description>generated by python-docx</dc:description>
  <cp:lastModifiedBy/>
  <cp:revision>1</cp:revision>
  <dcterms:created xsi:type="dcterms:W3CDTF">2013-12-23T23:15:00Z</dcterms:created>
  <dcterms:modified xsi:type="dcterms:W3CDTF">2013-12-23T23:15:00Z</dcterms:modified>
  <cp:category/>
</cp:coreProperties>
</file>